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0.3 -->
  <w:body>
    <w:p>
      <w:pPr>
        <w:spacing w:line="0" w:lineRule="atLeast"/>
        <w:rPr>
          <w:rFonts w:ascii="Arial" w:hAnsi="Calibri"/>
          <w:color w:val="FF0000"/>
          <w:sz w:val="2"/>
          <w:szCs w:val="22"/>
          <w:lang w:val="en-US" w:eastAsia="en-US" w:bidi="ar-SA"/>
        </w:rPr>
      </w:pPr>
      <w:bookmarkStart w:id="0" w:name="br1"/>
      <w:bookmarkEnd w:id="0"/>
      <w:r>
        <w:rPr>
          <w:rFonts w:ascii="Arial" w:hAnsi="Calibri"/>
          <w:color w:val="FF0000"/>
          <w:sz w:val="2"/>
          <w:szCs w:val="22"/>
          <w:lang w:val="en-US" w:eastAsia="en-US" w:bidi="ar-SA"/>
        </w:rPr>
        <w:t xml:space="preserve"> </w:t>
      </w:r>
    </w:p>
    <w:p>
      <w:pPr>
        <w:framePr w:w="559" w:x="1248" w:y="1576"/>
        <w:widowControl w:val="0"/>
        <w:autoSpaceDE w:val="0"/>
        <w:autoSpaceDN w:val="0"/>
        <w:spacing w:line="319" w:lineRule="exact"/>
        <w:rPr>
          <w:rFonts w:hAnsi="Calibri"/>
          <w:color w:val="000000"/>
          <w:sz w:val="32"/>
          <w:szCs w:val="22"/>
          <w:lang w:val="en-US" w:eastAsia="en-US" w:bidi="ar-SA"/>
        </w:rPr>
      </w:pPr>
      <w:r>
        <w:rPr>
          <w:rFonts w:ascii="SimSun" w:hAnsi="SimSun" w:cs="SimSun"/>
          <w:color w:val="000000"/>
          <w:sz w:val="32"/>
          <w:szCs w:val="22"/>
          <w:lang w:val="en-US" w:eastAsia="en-US" w:bidi="ar-SA"/>
        </w:rPr>
        <w:t>附</w:t>
      </w:r>
    </w:p>
    <w:p>
      <w:pPr>
        <w:framePr w:w="9955" w:x="3888" w:y="2164"/>
        <w:widowControl w:val="0"/>
        <w:autoSpaceDE w:val="0"/>
        <w:autoSpaceDN w:val="0"/>
        <w:spacing w:line="439" w:lineRule="exact"/>
        <w:rPr>
          <w:rFonts w:hAnsi="Calibri"/>
          <w:color w:val="000000"/>
          <w:sz w:val="44"/>
          <w:szCs w:val="22"/>
          <w:lang w:val="en-US" w:eastAsia="en-US" w:bidi="ar-SA"/>
        </w:rPr>
      </w:pPr>
      <w:r>
        <w:rPr>
          <w:rFonts w:ascii="SimSun" w:hAnsi="SimSun" w:cs="SimSun"/>
          <w:color w:val="000000"/>
          <w:spacing w:val="2"/>
          <w:sz w:val="44"/>
          <w:szCs w:val="22"/>
          <w:lang w:val="en-US" w:eastAsia="en-US" w:bidi="ar-SA"/>
        </w:rPr>
        <w:t>《智能楼宇管理员》职业技能等级认定收费标准表</w:t>
      </w:r>
    </w:p>
    <w:p>
      <w:pPr>
        <w:framePr w:w="1364" w:x="4582" w:y="3135"/>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理论科目</w:t>
      </w:r>
    </w:p>
    <w:p>
      <w:pPr>
        <w:framePr w:w="1364" w:x="4582" w:y="3135"/>
        <w:widowControl w:val="0"/>
        <w:autoSpaceDE w:val="0"/>
        <w:autoSpaceDN w:val="0"/>
        <w:spacing w:before="367"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收费标准</w:t>
      </w:r>
    </w:p>
    <w:p>
      <w:pPr>
        <w:framePr w:w="1926" w:x="7226" w:y="3135"/>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实践操作科目</w:t>
      </w:r>
    </w:p>
    <w:p>
      <w:pPr>
        <w:framePr w:w="1926" w:x="7226" w:y="3135"/>
        <w:widowControl w:val="0"/>
        <w:autoSpaceDE w:val="0"/>
        <w:autoSpaceDN w:val="0"/>
        <w:spacing w:before="367" w:line="281" w:lineRule="exact"/>
        <w:ind w:left="281"/>
        <w:rPr>
          <w:rFonts w:hAnsi="Calibri"/>
          <w:color w:val="000000"/>
          <w:sz w:val="28"/>
          <w:szCs w:val="22"/>
          <w:lang w:val="en-US" w:eastAsia="en-US" w:bidi="ar-SA"/>
        </w:rPr>
      </w:pPr>
      <w:r>
        <w:rPr>
          <w:rFonts w:ascii="SimSun" w:hAnsi="SimSun" w:cs="SimSun"/>
          <w:color w:val="000000"/>
          <w:sz w:val="28"/>
          <w:szCs w:val="22"/>
          <w:lang w:val="en-US" w:eastAsia="en-US" w:bidi="ar-SA"/>
        </w:rPr>
        <w:t>收费标准</w:t>
      </w:r>
    </w:p>
    <w:p>
      <w:pPr>
        <w:framePr w:w="1364" w:x="10433" w:y="3135"/>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综合评审</w:t>
      </w:r>
    </w:p>
    <w:p>
      <w:pPr>
        <w:framePr w:w="1364" w:x="10433" w:y="3135"/>
        <w:widowControl w:val="0"/>
        <w:autoSpaceDE w:val="0"/>
        <w:autoSpaceDN w:val="0"/>
        <w:spacing w:before="367"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收费标准</w:t>
      </w:r>
    </w:p>
    <w:p>
      <w:pPr>
        <w:framePr w:w="802" w:x="13183" w:y="3603"/>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pacing w:val="1"/>
          <w:sz w:val="28"/>
          <w:szCs w:val="22"/>
          <w:lang w:val="en-US" w:eastAsia="en-US" w:bidi="ar-SA"/>
        </w:rPr>
        <w:t>合计</w:t>
      </w:r>
    </w:p>
    <w:p>
      <w:pPr>
        <w:framePr w:w="802" w:x="2282" w:y="3783"/>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pacing w:val="1"/>
          <w:sz w:val="28"/>
          <w:szCs w:val="22"/>
          <w:lang w:val="en-US" w:eastAsia="en-US" w:bidi="ar-SA"/>
        </w:rPr>
        <w:t>等级</w:t>
      </w:r>
    </w:p>
    <w:p>
      <w:pPr>
        <w:framePr w:w="1786" w:x="12636" w:y="4114"/>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（元/人次）</w:t>
      </w:r>
    </w:p>
    <w:p>
      <w:pPr>
        <w:framePr w:w="1786" w:x="4373" w:y="4431"/>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（元/人次）</w:t>
      </w:r>
    </w:p>
    <w:p>
      <w:pPr>
        <w:framePr w:w="1786" w:x="7296" w:y="4431"/>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（元/人次）</w:t>
      </w:r>
    </w:p>
    <w:p>
      <w:pPr>
        <w:framePr w:w="1786" w:x="10222" w:y="4431"/>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（元/人次）</w:t>
      </w:r>
    </w:p>
    <w:p>
      <w:pPr>
        <w:framePr w:w="1786" w:x="1793" w:y="5401"/>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四级/中级工</w:t>
      </w:r>
    </w:p>
    <w:p>
      <w:pPr>
        <w:framePr w:w="522" w:x="5002" w:y="5398"/>
        <w:widowControl w:val="0"/>
        <w:autoSpaceDE w:val="0"/>
        <w:autoSpaceDN w:val="0"/>
        <w:spacing w:line="281" w:lineRule="exact"/>
        <w:rPr>
          <w:rFonts w:hAnsi="Calibri"/>
          <w:color w:val="000000"/>
          <w:sz w:val="28"/>
          <w:szCs w:val="22"/>
          <w:lang w:val="en-US" w:eastAsia="en-US" w:bidi="ar-SA"/>
        </w:rPr>
      </w:pPr>
      <w:r>
        <w:rPr>
          <w:rFonts w:ascii="SimSun" w:hAnsi="Calibri"/>
          <w:color w:val="000000"/>
          <w:spacing w:val="2"/>
          <w:sz w:val="28"/>
          <w:szCs w:val="22"/>
          <w:lang w:val="en-US" w:eastAsia="en-US" w:bidi="ar-SA"/>
        </w:rPr>
        <w:t>65</w:t>
      </w:r>
    </w:p>
    <w:p>
      <w:pPr>
        <w:framePr w:w="662" w:x="7858" w:y="5398"/>
        <w:widowControl w:val="0"/>
        <w:autoSpaceDE w:val="0"/>
        <w:autoSpaceDN w:val="0"/>
        <w:spacing w:line="281" w:lineRule="exact"/>
        <w:rPr>
          <w:rFonts w:hAnsi="Calibri"/>
          <w:color w:val="000000"/>
          <w:sz w:val="28"/>
          <w:szCs w:val="22"/>
          <w:lang w:val="en-US" w:eastAsia="en-US" w:bidi="ar-SA"/>
        </w:rPr>
      </w:pPr>
      <w:r>
        <w:rPr>
          <w:rFonts w:ascii="SimSun" w:hAnsi="Calibri"/>
          <w:color w:val="000000"/>
          <w:sz w:val="28"/>
          <w:szCs w:val="22"/>
          <w:lang w:val="en-US" w:eastAsia="en-US" w:bidi="ar-SA"/>
        </w:rPr>
        <w:t>310</w:t>
      </w:r>
    </w:p>
    <w:p>
      <w:pPr>
        <w:framePr w:w="2488" w:x="9871" w:y="5401"/>
        <w:widowControl w:val="0"/>
        <w:autoSpaceDE w:val="0"/>
        <w:autoSpaceDN w:val="0"/>
        <w:spacing w:line="281" w:lineRule="exact"/>
        <w:rPr>
          <w:rFonts w:hAnsi="Calibri"/>
          <w:color w:val="000000"/>
          <w:sz w:val="28"/>
          <w:szCs w:val="22"/>
          <w:lang w:val="en-US" w:eastAsia="en-US" w:bidi="ar-SA"/>
        </w:rPr>
      </w:pPr>
      <w:r>
        <w:rPr>
          <w:rFonts w:ascii="SimSun" w:hAnsi="SimSun" w:cs="SimSun"/>
          <w:color w:val="000000"/>
          <w:sz w:val="28"/>
          <w:szCs w:val="22"/>
          <w:lang w:val="en-US" w:eastAsia="en-US" w:bidi="ar-SA"/>
        </w:rPr>
        <w:t>本级别无该项考核</w:t>
      </w:r>
    </w:p>
    <w:p>
      <w:pPr>
        <w:framePr w:w="662" w:x="13253" w:y="5401"/>
        <w:widowControl w:val="0"/>
        <w:autoSpaceDE w:val="0"/>
        <w:autoSpaceDN w:val="0"/>
        <w:spacing w:line="281" w:lineRule="exact"/>
        <w:rPr>
          <w:rFonts w:hAnsi="Calibri"/>
          <w:color w:val="000000"/>
          <w:sz w:val="28"/>
          <w:szCs w:val="22"/>
          <w:lang w:val="en-US" w:eastAsia="en-US" w:bidi="ar-SA"/>
        </w:rPr>
      </w:pPr>
      <w:r>
        <w:rPr>
          <w:rFonts w:ascii="SimSun" w:hAnsi="Calibri"/>
          <w:color w:val="000000"/>
          <w:sz w:val="28"/>
          <w:szCs w:val="22"/>
          <w:lang w:val="en-US" w:eastAsia="en-US" w:bidi="ar-SA"/>
        </w:rPr>
        <w:t>375</w:t>
      </w:r>
    </w:p>
    <w:p>
      <w:pPr>
        <w:framePr w:w="14244" w:x="1248" w:y="7171"/>
        <w:widowControl w:val="0"/>
        <w:autoSpaceDE w:val="0"/>
        <w:autoSpaceDN w:val="0"/>
        <w:spacing w:line="240" w:lineRule="exact"/>
        <w:ind w:left="600"/>
        <w:rPr>
          <w:rFonts w:hAnsi="Calibri"/>
          <w:color w:val="000000"/>
          <w:szCs w:val="22"/>
          <w:lang w:val="en-US" w:eastAsia="en-US" w:bidi="ar-SA"/>
        </w:rPr>
      </w:pPr>
      <w:r>
        <w:rPr>
          <w:rFonts w:ascii="SimSun" w:hAnsi="SimSun" w:cs="SimSun"/>
          <w:color w:val="000000"/>
          <w:spacing w:val="-1"/>
          <w:szCs w:val="22"/>
          <w:lang w:val="en-US" w:eastAsia="en-US" w:bidi="ar-SA"/>
        </w:rPr>
        <w:t>备注：收费标准参照《广东人力资源和社会保障厅关于明确我省人力资源社会保障部门实施的技能人员职业资格考试收费有关事</w:t>
      </w:r>
    </w:p>
    <w:p>
      <w:pPr>
        <w:framePr w:w="14244" w:x="1248" w:y="7171"/>
        <w:widowControl w:val="0"/>
        <w:autoSpaceDE w:val="0"/>
        <w:autoSpaceDN w:val="0"/>
        <w:spacing w:before="180" w:line="240" w:lineRule="exact"/>
        <w:rPr>
          <w:rFonts w:hAnsi="Calibri"/>
          <w:color w:val="000000"/>
          <w:szCs w:val="22"/>
          <w:lang w:val="en-US" w:eastAsia="en-US" w:bidi="ar-SA"/>
        </w:rPr>
      </w:pPr>
      <w:r>
        <w:rPr>
          <w:rFonts w:ascii="SimSun" w:hAnsi="SimSun" w:cs="SimSun"/>
          <w:color w:val="000000"/>
          <w:szCs w:val="22"/>
          <w:lang w:val="en-US" w:eastAsia="en-US" w:bidi="ar-SA"/>
        </w:rPr>
        <w:t>项的通知》（粤人社规〔2019〕26</w:t>
      </w:r>
      <w:r>
        <w:rPr>
          <w:rFonts w:hAnsi="Calibri"/>
          <w:color w:val="000000"/>
          <w:szCs w:val="22"/>
          <w:lang w:val="en-US" w:eastAsia="en-US" w:bidi="ar-SA"/>
        </w:rPr>
        <w:t xml:space="preserve"> </w:t>
      </w:r>
      <w:r>
        <w:rPr>
          <w:rFonts w:ascii="SimSun" w:hAnsi="SimSun" w:cs="SimSun"/>
          <w:color w:val="000000"/>
          <w:szCs w:val="22"/>
          <w:lang w:val="en-US" w:eastAsia="en-US" w:bidi="ar-SA"/>
        </w:rPr>
        <w:t>号），并经珠海市电气专业职业技能等级认定联盟理事会确认后执行。</w:t>
      </w:r>
    </w:p>
    <w:p>
      <w:pPr>
        <w:spacing w:line="0" w:lineRule="atLeast"/>
        <w:rPr>
          <w:rFonts w:ascii="Arial" w:hAnsi="Calibri"/>
          <w:color w:val="FF0000"/>
          <w:sz w:val="2"/>
          <w:szCs w:val="22"/>
          <w:lang w:val="en-US" w:eastAsia="en-US" w:bidi="ar-SA"/>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width:670.35pt;height:240.55pt;margin-top:69.7pt;margin-left:63.1pt;mso-position-horizontal-relative:page;mso-position-vertical-relative:page;position:absolute;z-index:-251658240">
            <v:imagedata r:id="rId4" o:title=""/>
          </v:shape>
        </w:pict>
      </w:r>
    </w:p>
    <w:sectPr>
      <w:pgSz w:w="16820" w:h="11900" w:orient="landscape"/>
      <w:pgMar w:top="0" w:right="0" w:bottom="0" w:left="0" w:header="720" w:footer="720" w:gutter="0"/>
      <w:pgNumType w:start="1"/>
      <w:cols w:sep="0" w:space="720"/>
      <w:docGrid w:linePitch="1"/>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7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7A87" w:usb1="80000000" w:usb2="00000008" w:usb3="00000000" w:csb0="000001FF" w:csb1="00000000"/>
  </w:font>
  <w:font w:name="Calibri">
    <w:panose1 w:val="020F0502020204030204"/>
    <w:charset w:val="CC"/>
    <w:family w:val="swiss"/>
    <w:pitch w:val="variable"/>
    <w:sig w:usb0="01010101" w:usb1="01010101" w:usb2="01010101" w:usb3="01010101" w:csb0="01010101" w:csb1="01010101"/>
  </w:font>
  <w:font w:name="Cambria Math">
    <w:panose1 w:val="02040503050406030204"/>
    <w:charset w:val="CC"/>
    <w:family w:val="roman"/>
    <w:pitch w:val="variable"/>
    <w:sig w:usb0="01010101" w:usb1="01010101" w:usb2="01010101" w:usb3="01010101" w:csb0="01010101" w:csb1="01010101"/>
  </w:font>
  <w:font w:name="SimSun">
    <w:panose1 w:val="00000000000000000000"/>
    <w:charset w:val="01"/>
    <w:family w:val="auto"/>
    <w:notTrueType/>
    <w:pitch w:val="default"/>
    <w:sig w:usb0="01010101" w:usb1="01010101" w:usb2="01010101" w:usb3="01010101" w:csb0="01010101" w:csb1="01010101"/>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20"/>
  <w:noPunctuationKerning/>
  <w:characterSpacingControl w:val="doNotCompres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77B3E"/>
    <w:rsid w:val="00A77B3E"/>
    <w:rsid w:val="00CA2A55"/>
  </w:rsids>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jpeg"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Template>
  <TotalTime>0</TotalTime>
  <Pages>1</Pages>
  <Words>0</Words>
  <Characters>0</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cp:coreProperties>
</file>